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238</w:t>
      </w:r>
    </w:p>
    <w:p>
      <w:r>
        <w:t>Bundesgericht (BGE), 1974-09-20, DE</w:t>
      </w:r>
    </w:p>
    <w:p>
      <w:r>
        <w:rPr>
          <w:b/>
        </w:rPr>
        <w:t xml:space="preserve">Quelle: </w:t>
      </w:r>
      <w:r>
        <w:t>https://mcp.opencaselaw.ch/entscheid/bge_100 IV 238</w:t>
      </w:r>
    </w:p>
    <w:p>
      <w:r>
        <w:t>FR: ATF 100 IV 238</w:t>
      </w:r>
    </w:p>
    <w:p>
      <w:r>
        <w:t>IT: DTF 100 IV 238</w:t>
      </w:r>
    </w:p>
    <w:p>
      <w:pPr>
        <w:pStyle w:val="Heading2"/>
      </w:pPr>
      <w:r>
        <w:t>Regeste</w:t>
      </w:r>
    </w:p>
    <w:p>
      <w:r>
        <w:t>Regeste Art. 253 StGB. 1. Erschleichung einer falschen Beurkundung, begangen durch Vortäuschung und Überbewertung güterrechtlicher Vermögenswerte in zwei Eheverträgen anlässlich der öffentlichen Verurkundung der zwischen den Ehegatten vereinbarten Gütertrennung (Erw. 1-4). 2. Der Gebrauch einer gemäss Art. 253 Abs. 1 StGB erschlichenen falschen Urkunde durch denjenigen, der sie erschlichen hat, ist straflose Nachtat (Erw. 5).</w:t>
      </w:r>
    </w:p>
    <w:p>
      <w:pPr>
        <w:pStyle w:val="Heading2"/>
      </w:pPr>
      <w:r>
        <w:t>Erwägungen</w:t>
      </w:r>
    </w:p>
    <w:p>
      <w:r>
        <w:rPr>
          <w:b/>
        </w:rPr>
        <w:t>E. 1</w:t>
      </w:r>
    </w:p>
    <w:p>
      <w:r>
        <w:t>Der Erschleichung falscher Urkunden im Sinne des Art. 253 StGB macht sich schuldig, wer durch Täuschung bewirkt, dass ein Beamter oder eine Person des öffentlichen Glaubens eine rechtlich erhebliche Tatsache unrichtig beurkundet, namentlich eine falsche Unterschrift oder eine unrichtige Abschrift beglaubigt. Die Beschwerdeführer bestreiten, dass die Eheverträge bestimmt oder geeignet seien, die darin verheimlichten oder vorgetäuschten güterrechtlichen Auseinandersetzungen zu beweisen. Sie sprechen damit den Eheverträgen von 1963 und 1966 hinsichtlich dieser Punkte den Urkundencharakter ab. BGE 100 IV 238 S. 241 Es ist nicht erforderlich, dass die Urkunde Beweiskraft habe, d.h. dass sie im Einzelfall die rechtlich erhebliche Tatsache zu beweisen vermöge. Es genügt, dass sie bestimmt oder geeignet sei, als Beweismittel verwendet zu werden für den Nachweis der Tatsachen, die Gegenstand der Erklärung bilden ( BGE 81 IV 243 ).</w:t>
      </w:r>
    </w:p>
    <w:p>
      <w:r>
        <w:rPr>
          <w:b/>
        </w:rPr>
        <w:t>E. 2</w:t>
      </w:r>
    </w:p>
    <w:p>
      <w:r>
        <w:t>Die unwahren Angaben betreffen rechtserhebliche Tatsachen. Denn sie sind für die Ausscheidung von Mannes- und Frauengut und für den Bestand von Ersatzforderungen erheblich, sei es im Falle einer güterrechtlichen oder erbrechtlichen Auseinandersetzung, sei es in einer Zwangsvollstreckung gegen den einen oder andern Ehegatten. Die Beschwerdeführer waren sich dessen auch bewusst. Sie täuschten unrichtige Vermögensverhältnisse vor, um die Ehefrau zu begünstigen für den Fall, dass dem Ehemann etwas zustossen würde, d.h. dass es tatsächlich zu einer güterrechtlichen Auseinandersetzung kommen sollte. Sie wussten also, dass sie durch ihre unwahren Angaben eine rechtliche Besserstellung der Ehefrau erreichten.</w:t>
      </w:r>
    </w:p>
    <w:p>
      <w:r>
        <w:rPr>
          <w:b/>
        </w:rPr>
        <w:t>E. 3</w:t>
      </w:r>
    </w:p>
    <w:p>
      <w:r>
        <w:t>Die Eheverträge waren zudem bestimmt und geeignet, die darin vorgetäuschten Vermögensausscheidungen zu beweisen. Die Beschwerdeführer haben in den beiden Eheverträgen unwahre Erklärungen abgegeben, um die güterrechtliche Begünstigung der Ehefrau beweismässig zu untermauern. Die vorgetäuschten Erklärungen waren somit von Anfang an zum Beweis bestimmt. Zur Abklärung der güterrechtlichen Vermögensverhältnisse wird weitgehend auf die Auskünfte der betreffenden Ehegatten abgestellt. Falsche Angaben der Eheleute zur Begünstigung des einen Teils können sich unter Umständen zum Nachteil des andern Teils auswirken. Die Angaben der Ehegatten schaffen deshalb eine natürliche Vermutung der Wahrheit. Sie enthalten ein aussergerichtliches Geständnis (GULDENER, Grundzüge der freiwilligen Gerichtsbarkeit der Schweiz, S. 11 oben). Solchen Vermögensaufstellungen, die vom benachteiligten oder von beiden Ehegatten stammen, kann daher ein Beweiswert nicht abgesprochen werden. Sie werden vom Richter in einem Prozess, der die güterrechtliche Auseinandersetzung zum Gegenstand hat, als Beweismittel zugelassen. Auch ohne Veröffentlichung der güterrechtlichen Vermögensaufstellung BGE 100 IV 238 S. 242 kann der Richter in einem Prozess über eine güterrechtliche und erbrechtliche Auseinandersetzung oder anlässlich einer Zwangsvollstreckung solche Inventare würdigen, sogut der nach Art. 196 Abs. 1 ZGB einem Ehegatten obliegende Beweis der Zugehörigkeit eines Vermögenswertes zum Frauengut mit allen vom Prozessrecht zugelassenen Beweismitteln geführt werden kann, z.B. auch mit privat errichteten Inventaren, die erst sechs Monate nach Einbringung des Eigengutes errichtet wurden (EGGER, Art. 197 ZGB , N. 3, 5; LEMP, Art. 193 ZGB , N. 1 l' Art. 196 ZGB , N. 13; Art. 197 ZGB , N. 22, 23, 25). Soweit solche Erklärungen keine erhöhte Beweiskraft haben, sind sie vom Richter nach allgemeinen Beweisregeln zu würdigen. Somit waren die in den beiden Eheverträgen abgegebenen Erklärungen der Beschwerdeführer über Bestand und Herkunft des ehelichen Vermögens nicht leere Parteibehauptungen. Sie eigneten sich vielmehr zur Beweisführung und waren damit Urkunden. Gerade zum Nachweis ihrer angeblichen Ansprüche hat denn die Ehefrau auch die Eheverträge dem Konkursamt eingereicht.</w:t>
      </w:r>
    </w:p>
    <w:p>
      <w:r>
        <w:rPr>
          <w:b/>
        </w:rPr>
        <w:t>E. 4</w:t>
      </w:r>
    </w:p>
    <w:p>
      <w:r>
        <w:t>Die Beschwerdeführer bestreiten, den Tatbestand des Art. 253 StGB anlässlich der öffentlichen Beurkundung der beiden Eheverträge erfüllt zu haben. Die Begriffe des Beurkundens und der öffentlichen Urkunde setzen nicht voraus, dass die Urkundsperson die festgehaltenen Tatsachen mit eigenen Sinnen unmittelbar wahrgenommen habe. Der Notar, der eine öffentliche Urkunde über einen Vertrag errichtet, beurkundet alle für das Zustandekommen des Vertrages nötigen Tatsachen. Soweit er sie nicht sinnlich unmittelbar wahrnimmt, verlässt er sich auf die Angaben der Parteien. Er beurkundet nicht nur die Erklärungen, sondern auch den Willen der Parteien. Der öffentlich beurkundete Vertrag ist kein blosses Protokoll über abgegebene Erklärungen. Indem der Notar feststellt, dass die Parteien mit dem Willen, einen Vertrag abzuschliessen, bestimmte Erklärungen abgegeben und entgegengenommen haben, bekräftigt er daher auch, dass diese Erklärungen mit dem Willen der Parteien übereinstimmen und dass jede die Erklärung der andern als Ausdruck ihres wirklichen Willens auffasst ( BGE 78 IV 112 ). Unrichtig waren im vorliegenden Falle die Angaben der Beschwerdeführer insoweit, als sie vortäuschten, die Ehegatten würden eine güterrechtliche Auseinandersetzung nach den bestehenden BGE 100 IV 238 S. 243 Eigentumsverhältnissen vornehmen. Der von den Beschwerdeführern simulierte und vom Notar beurkundete Parteiwille ging auf eine gewöhnliche, den wirklichen Eigentumsverhältnissen und den gesetzlichen Bestimmungen entsprechende güterrechtliche Auseinandersetzung. Der wirkliche, dem Notar und Dritten verheimlichte Vertragswille erstrebte aber eine den wirklichen Eigentumsverhältnissen und dem Gesetz nicht entsprechende Vermögensverschiebung zugunsten der Ehefrau. So kam es, dass der Notar eine verheimlichte, dem wirklichen Parteiwillen nicht entsprechende güterrechtliche Auseinandersetzung beurkundete. Die Beschwerdeführer haben somit eine falsche Beurkundung im Sinne von Art. 253 StGB erschlichen.</w:t>
      </w:r>
    </w:p>
    <w:p>
      <w:r>
        <w:rPr>
          <w:b/>
        </w:rPr>
        <w:t>E. 5</w:t>
      </w:r>
    </w:p>
    <w:p>
      <w:r>
        <w:t>Hinsichtlich der Verurteilung wegen Gebrauchs einer erschlichenen Urkunde macht die Beschwerdeführerin geltend, die Eingabe des zweiten Ehevertrages an das Konkursamt sei straflose Nachtat. Der Gebrauch einer gemäss Art. Art. 253 Abs. 1 StGB erschlichenen falschen Urkunde durch denjenigen, der sie erschlichen hat, ist nicht selbständig strafbar. Denn die Erschleichung einer falschen Beurkundung schliesst sinngemäss auch den Vorsatz in sich, diese Urkunde zur Täuschung im Rechtsverkehr zu gebrauchen. Ansonst wäre derjenige, der durch seine täuschenden Angaben die Falschbeurkundung bewirkt und die so erschlichene Urkunde selbst gebraucht, folgerichtig für zwei Delikte zu bestrafen (vgl. BGE 100 IV 182 E. 3 a zu Art. 317). Art. 253 StGB unterscheidet sich in dieser Hinsicht nicht vom allgemeinen Tatbestande der Urkundenfälschung ( Art. 251 Ziff. 1 Abs. 3 StGB ). Das angefochtene Urteil ist deshalb in diesem Punkte aufzuheben und die Sache an die Vorinstanz zur Freisprechung der Beschwerdeführerin von der Anschuldigung des Gebrauchs erschlichener falscher Beurkundungen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